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7DE3" w14:textId="3AAEC116" w:rsidR="00BA7FE6" w:rsidRPr="006F5B46" w:rsidRDefault="00BA7FE6" w:rsidP="0072744E">
      <w:pPr>
        <w:pStyle w:val="Header"/>
        <w:jc w:val="center"/>
        <w:rPr>
          <w:sz w:val="21"/>
          <w:szCs w:val="21"/>
          <w:lang w:val="en-US"/>
        </w:rPr>
      </w:pPr>
      <w:bookmarkStart w:id="0" w:name="_Toc288593617"/>
      <w:bookmarkStart w:id="1" w:name="_Toc271795866"/>
      <w:bookmarkStart w:id="2" w:name="_Toc290886803"/>
      <w:bookmarkStart w:id="3" w:name="_Toc435702727"/>
      <w:r w:rsidRPr="006F5B46">
        <w:rPr>
          <w:sz w:val="21"/>
          <w:szCs w:val="21"/>
          <w:lang w:val="en-US"/>
        </w:rPr>
        <w:t>ESA BIC Application Template – Business Plan, v</w:t>
      </w:r>
      <w:r w:rsidR="001A7A98">
        <w:rPr>
          <w:sz w:val="21"/>
          <w:szCs w:val="21"/>
          <w:lang w:val="en-US"/>
        </w:rPr>
        <w:t>5</w:t>
      </w:r>
      <w:r w:rsidRPr="006F5B46">
        <w:rPr>
          <w:sz w:val="21"/>
          <w:szCs w:val="21"/>
          <w:lang w:val="en-US"/>
        </w:rPr>
        <w:t>.0, 26/08/2020</w:t>
      </w:r>
    </w:p>
    <w:p w14:paraId="1A7F530E" w14:textId="3B53385A"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5E2DA0">
        <w:rPr>
          <w:sz w:val="21"/>
          <w:szCs w:val="21"/>
          <w:lang w:val="en-US"/>
        </w:rPr>
        <w:t>Estonia</w:t>
      </w:r>
      <w:r>
        <w:rPr>
          <w:sz w:val="21"/>
          <w:szCs w:val="21"/>
          <w:lang w:val="en-US"/>
        </w:rPr>
        <w:t xml:space="preserve"> - Issue </w:t>
      </w:r>
      <w:r w:rsidR="005E2DA0">
        <w:rPr>
          <w:sz w:val="21"/>
          <w:szCs w:val="21"/>
          <w:lang w:val="en-US"/>
        </w:rPr>
        <w:t>1</w:t>
      </w:r>
      <w:r>
        <w:rPr>
          <w:sz w:val="21"/>
          <w:szCs w:val="21"/>
          <w:lang w:val="en-US"/>
        </w:rPr>
        <w:t xml:space="preserve">, </w:t>
      </w:r>
      <w:r w:rsidR="005E2DA0">
        <w:rPr>
          <w:sz w:val="21"/>
          <w:szCs w:val="21"/>
          <w:lang w:val="en-US"/>
        </w:rPr>
        <w:t>13</w:t>
      </w:r>
      <w:r>
        <w:rPr>
          <w:sz w:val="21"/>
          <w:szCs w:val="21"/>
          <w:lang w:val="en-US"/>
        </w:rPr>
        <w:t>/</w:t>
      </w:r>
      <w:r w:rsidR="005E2DA0">
        <w:rPr>
          <w:sz w:val="21"/>
          <w:szCs w:val="21"/>
          <w:lang w:val="en-US"/>
        </w:rPr>
        <w:t>02</w:t>
      </w:r>
      <w:r>
        <w:rPr>
          <w:sz w:val="21"/>
          <w:szCs w:val="21"/>
          <w:lang w:val="en-US"/>
        </w:rPr>
        <w:t>/</w:t>
      </w:r>
      <w:r w:rsidR="005E2DA0">
        <w:rPr>
          <w:sz w:val="21"/>
          <w:szCs w:val="21"/>
          <w:lang w:val="en-US"/>
        </w:rPr>
        <w:t>2024</w:t>
      </w:r>
    </w:p>
    <w:p w14:paraId="21A206F8" w14:textId="77777777" w:rsidR="00AF1E4C" w:rsidRPr="0018287B" w:rsidRDefault="00AF1E4C" w:rsidP="005E293B">
      <w:pPr>
        <w:pStyle w:val="Title"/>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ListParagraph"/>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ListParagraph"/>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ListParagraph"/>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ListParagraph"/>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ListParagraph"/>
        <w:ind w:left="360"/>
        <w:rPr>
          <w:rFonts w:ascii="Georgia" w:hAnsi="Georgia"/>
          <w:color w:val="0070C0"/>
        </w:rPr>
      </w:pPr>
    </w:p>
    <w:p w14:paraId="3427CBED" w14:textId="7E0F0780" w:rsidR="00C561EF" w:rsidRDefault="00C561EF" w:rsidP="00C561EF">
      <w:pPr>
        <w:pStyle w:val="ListParagraph"/>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ListParagraph"/>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ListParagraph"/>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ListParagraph"/>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ListParagraph"/>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ListParagraph"/>
        <w:ind w:left="360"/>
        <w:rPr>
          <w:rFonts w:ascii="Georgia" w:hAnsi="Georgia"/>
          <w:color w:val="0070C0"/>
        </w:rPr>
      </w:pPr>
    </w:p>
    <w:p w14:paraId="46FEE71F" w14:textId="502BF45F" w:rsidR="00C561EF" w:rsidRPr="009953D6" w:rsidRDefault="001C0810" w:rsidP="004741C3">
      <w:pPr>
        <w:pStyle w:val="ListParagraph"/>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Heading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Heading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Heading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Heading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0F938DDC" w14:textId="7DF13671" w:rsidR="00202DBA" w:rsidRPr="00202DBA" w:rsidRDefault="00202DBA" w:rsidP="00202DBA">
      <w:pPr>
        <w:rPr>
          <w:rFonts w:ascii="Georgia" w:hAnsi="Georgia"/>
          <w:color w:val="0070C0"/>
        </w:rPr>
        <w:sectPr w:rsidR="00202DBA" w:rsidRPr="00202DBA" w:rsidSect="00E64383">
          <w:footerReference w:type="even" r:id="rId12"/>
          <w:footerReference w:type="default" r:id="rId13"/>
          <w:pgSz w:w="11907" w:h="16840" w:code="9"/>
          <w:pgMar w:top="1860" w:right="1106" w:bottom="1417" w:left="1134" w:header="771" w:footer="1202" w:gutter="0"/>
          <w:pgNumType w:start="1"/>
          <w:cols w:space="708"/>
          <w:docGrid w:linePitch="360"/>
        </w:sectPr>
      </w:pPr>
      <w:r>
        <w:rPr>
          <w:rFonts w:ascii="Georgia" w:hAnsi="Georgia"/>
          <w:color w:val="0070C0"/>
        </w:rPr>
        <w:t>You may use the Profit and Loss table available separately and insert it here, or choose your own format.</w:t>
      </w:r>
      <w:r w:rsidR="002D3A1A">
        <w:rPr>
          <w:rFonts w:ascii="Georgia" w:hAnsi="Georgia"/>
          <w:color w:val="0070C0"/>
        </w:rPr>
        <w:t xml:space="preserve"> Please explain all assumptions you make.</w:t>
      </w:r>
      <w:r w:rsidR="009953D6">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29F0" w14:textId="77777777" w:rsidR="00312652" w:rsidRDefault="00312652" w:rsidP="0048765E">
      <w:r>
        <w:separator/>
      </w:r>
    </w:p>
  </w:endnote>
  <w:endnote w:type="continuationSeparator" w:id="0">
    <w:p w14:paraId="74E13863" w14:textId="77777777" w:rsidR="00312652" w:rsidRDefault="0031265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7319967"/>
      <w:docPartObj>
        <w:docPartGallery w:val="Page Numbers (Bottom of Page)"/>
        <w:docPartUnique/>
      </w:docPartObj>
    </w:sdtPr>
    <w:sdtEndPr>
      <w:rPr>
        <w:rStyle w:val="PageNumber"/>
      </w:rPr>
    </w:sdtEnd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9206729"/>
      <w:docPartObj>
        <w:docPartGallery w:val="Page Numbers (Bottom of Page)"/>
        <w:docPartUnique/>
      </w:docPartObj>
    </w:sdtPr>
    <w:sdtEndPr>
      <w:rPr>
        <w:rStyle w:val="PageNumber"/>
      </w:rPr>
    </w:sdtEndPr>
    <w:sdtContent>
      <w:p w14:paraId="15ACDF97"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240A6B6A" w14:textId="77777777" w:rsidR="00B57992" w:rsidRDefault="00B5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441F0" w14:textId="77777777" w:rsidR="00312652" w:rsidRDefault="00312652" w:rsidP="0048765E">
      <w:r>
        <w:separator/>
      </w:r>
    </w:p>
  </w:footnote>
  <w:footnote w:type="continuationSeparator" w:id="0">
    <w:p w14:paraId="0B96B417" w14:textId="77777777" w:rsidR="00312652" w:rsidRDefault="00312652"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0989051">
    <w:abstractNumId w:val="64"/>
  </w:num>
  <w:num w:numId="2" w16cid:durableId="27878399">
    <w:abstractNumId w:val="9"/>
  </w:num>
  <w:num w:numId="3" w16cid:durableId="1094279234">
    <w:abstractNumId w:val="7"/>
  </w:num>
  <w:num w:numId="4" w16cid:durableId="1261252765">
    <w:abstractNumId w:val="6"/>
  </w:num>
  <w:num w:numId="5" w16cid:durableId="1469786283">
    <w:abstractNumId w:val="5"/>
  </w:num>
  <w:num w:numId="6" w16cid:durableId="143401736">
    <w:abstractNumId w:val="4"/>
  </w:num>
  <w:num w:numId="7" w16cid:durableId="1010990052">
    <w:abstractNumId w:val="8"/>
  </w:num>
  <w:num w:numId="8" w16cid:durableId="289825668">
    <w:abstractNumId w:val="3"/>
  </w:num>
  <w:num w:numId="9" w16cid:durableId="423503635">
    <w:abstractNumId w:val="2"/>
  </w:num>
  <w:num w:numId="10" w16cid:durableId="1120346050">
    <w:abstractNumId w:val="1"/>
  </w:num>
  <w:num w:numId="11" w16cid:durableId="1498419492">
    <w:abstractNumId w:val="0"/>
  </w:num>
  <w:num w:numId="12" w16cid:durableId="1647394798">
    <w:abstractNumId w:val="34"/>
  </w:num>
  <w:num w:numId="13" w16cid:durableId="349725301">
    <w:abstractNumId w:val="26"/>
  </w:num>
  <w:num w:numId="14" w16cid:durableId="1684627010">
    <w:abstractNumId w:val="33"/>
  </w:num>
  <w:num w:numId="15" w16cid:durableId="849181348">
    <w:abstractNumId w:val="56"/>
  </w:num>
  <w:num w:numId="16" w16cid:durableId="1131750788">
    <w:abstractNumId w:val="12"/>
  </w:num>
  <w:num w:numId="17" w16cid:durableId="657341504">
    <w:abstractNumId w:val="57"/>
  </w:num>
  <w:num w:numId="18" w16cid:durableId="1522356676">
    <w:abstractNumId w:val="28"/>
  </w:num>
  <w:num w:numId="19" w16cid:durableId="1601528371">
    <w:abstractNumId w:val="30"/>
  </w:num>
  <w:num w:numId="20" w16cid:durableId="555580167">
    <w:abstractNumId w:val="61"/>
  </w:num>
  <w:num w:numId="21" w16cid:durableId="511535224">
    <w:abstractNumId w:val="27"/>
  </w:num>
  <w:num w:numId="22" w16cid:durableId="1697927914">
    <w:abstractNumId w:val="37"/>
  </w:num>
  <w:num w:numId="23" w16cid:durableId="381171498">
    <w:abstractNumId w:val="38"/>
  </w:num>
  <w:num w:numId="24" w16cid:durableId="1547252034">
    <w:abstractNumId w:val="60"/>
  </w:num>
  <w:num w:numId="25" w16cid:durableId="2001957194">
    <w:abstractNumId w:val="46"/>
  </w:num>
  <w:num w:numId="26" w16cid:durableId="1951089097">
    <w:abstractNumId w:val="45"/>
  </w:num>
  <w:num w:numId="27" w16cid:durableId="296838934">
    <w:abstractNumId w:val="65"/>
  </w:num>
  <w:num w:numId="28" w16cid:durableId="67965888">
    <w:abstractNumId w:val="32"/>
  </w:num>
  <w:num w:numId="29" w16cid:durableId="825434329">
    <w:abstractNumId w:val="36"/>
  </w:num>
  <w:num w:numId="30" w16cid:durableId="1173715297">
    <w:abstractNumId w:val="24"/>
  </w:num>
  <w:num w:numId="31" w16cid:durableId="2016418167">
    <w:abstractNumId w:val="31"/>
  </w:num>
  <w:num w:numId="32" w16cid:durableId="1316228720">
    <w:abstractNumId w:val="42"/>
  </w:num>
  <w:num w:numId="33" w16cid:durableId="390814524">
    <w:abstractNumId w:val="62"/>
  </w:num>
  <w:num w:numId="34" w16cid:durableId="1597128729">
    <w:abstractNumId w:val="49"/>
  </w:num>
  <w:num w:numId="35" w16cid:durableId="415327728">
    <w:abstractNumId w:val="47"/>
  </w:num>
  <w:num w:numId="36" w16cid:durableId="925193188">
    <w:abstractNumId w:val="17"/>
  </w:num>
  <w:num w:numId="37" w16cid:durableId="30113222">
    <w:abstractNumId w:val="63"/>
  </w:num>
  <w:num w:numId="38" w16cid:durableId="1176073548">
    <w:abstractNumId w:val="29"/>
  </w:num>
  <w:num w:numId="39" w16cid:durableId="111554905">
    <w:abstractNumId w:val="25"/>
  </w:num>
  <w:num w:numId="40" w16cid:durableId="633372358">
    <w:abstractNumId w:val="22"/>
  </w:num>
  <w:num w:numId="41" w16cid:durableId="787355726">
    <w:abstractNumId w:val="11"/>
  </w:num>
  <w:num w:numId="42" w16cid:durableId="655501463">
    <w:abstractNumId w:val="13"/>
  </w:num>
  <w:num w:numId="43" w16cid:durableId="1872067444">
    <w:abstractNumId w:val="50"/>
  </w:num>
  <w:num w:numId="44" w16cid:durableId="1830056121">
    <w:abstractNumId w:val="16"/>
  </w:num>
  <w:num w:numId="45" w16cid:durableId="1800949834">
    <w:abstractNumId w:val="14"/>
  </w:num>
  <w:num w:numId="46" w16cid:durableId="1234509568">
    <w:abstractNumId w:val="23"/>
  </w:num>
  <w:num w:numId="47" w16cid:durableId="1750692710">
    <w:abstractNumId w:val="54"/>
  </w:num>
  <w:num w:numId="48" w16cid:durableId="1512790812">
    <w:abstractNumId w:val="43"/>
  </w:num>
  <w:num w:numId="49" w16cid:durableId="1263031237">
    <w:abstractNumId w:val="53"/>
  </w:num>
  <w:num w:numId="50" w16cid:durableId="658578764">
    <w:abstractNumId w:val="51"/>
  </w:num>
  <w:num w:numId="51" w16cid:durableId="339237764">
    <w:abstractNumId w:val="55"/>
  </w:num>
  <w:num w:numId="52" w16cid:durableId="360207931">
    <w:abstractNumId w:val="52"/>
  </w:num>
  <w:num w:numId="53" w16cid:durableId="1908102181">
    <w:abstractNumId w:val="35"/>
  </w:num>
  <w:num w:numId="54" w16cid:durableId="1522355206">
    <w:abstractNumId w:val="19"/>
  </w:num>
  <w:num w:numId="55" w16cid:durableId="1267301025">
    <w:abstractNumId w:val="58"/>
  </w:num>
  <w:num w:numId="56" w16cid:durableId="915819502">
    <w:abstractNumId w:val="15"/>
  </w:num>
  <w:num w:numId="57" w16cid:durableId="1981769024">
    <w:abstractNumId w:val="44"/>
  </w:num>
  <w:num w:numId="58" w16cid:durableId="1826705469">
    <w:abstractNumId w:val="40"/>
  </w:num>
  <w:num w:numId="59" w16cid:durableId="812336128">
    <w:abstractNumId w:val="39"/>
  </w:num>
  <w:num w:numId="60" w16cid:durableId="825701673">
    <w:abstractNumId w:val="20"/>
  </w:num>
  <w:num w:numId="61" w16cid:durableId="737170881">
    <w:abstractNumId w:val="59"/>
  </w:num>
  <w:num w:numId="62" w16cid:durableId="950362160">
    <w:abstractNumId w:val="18"/>
  </w:num>
  <w:num w:numId="63" w16cid:durableId="967130954">
    <w:abstractNumId w:val="41"/>
  </w:num>
  <w:num w:numId="64" w16cid:durableId="415826061">
    <w:abstractNumId w:val="21"/>
  </w:num>
  <w:num w:numId="65" w16cid:durableId="135684023">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2DA0"/>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5" ma:contentTypeDescription="Create a new document." ma:contentTypeScope="" ma:versionID="df0824c37aede398c6fffe29e9e16680">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470971fc9de256dd6919c2488b23843f"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customXml/itemProps2.xml><?xml version="1.0" encoding="utf-8"?>
<ds:datastoreItem xmlns:ds="http://schemas.openxmlformats.org/officeDocument/2006/customXml" ds:itemID="{A74B138C-F0FC-439E-ABEC-6ADB2C6BDB74}">
  <ds:schemaRefs>
    <ds:schemaRef ds:uri="http://schemas.microsoft.com/sharepoint/v3/contenttype/forms"/>
  </ds:schemaRefs>
</ds:datastoreItem>
</file>

<file path=customXml/itemProps3.xml><?xml version="1.0" encoding="utf-8"?>
<ds:datastoreItem xmlns:ds="http://schemas.openxmlformats.org/officeDocument/2006/customXml" ds:itemID="{B008F128-73C7-49A6-B018-E086CCE4B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3111</Words>
  <Characters>17738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Sven Lilla</cp:lastModifiedBy>
  <cp:revision>9</cp:revision>
  <cp:lastPrinted>2017-10-12T12:03:00Z</cp:lastPrinted>
  <dcterms:created xsi:type="dcterms:W3CDTF">2020-08-26T08:46:00Z</dcterms:created>
  <dcterms:modified xsi:type="dcterms:W3CDTF">2024-02-13T09:11:00Z</dcterms:modified>
  <cp:category/>
</cp:coreProperties>
</file>